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《大学语文</w:t>
      </w:r>
      <w:r>
        <w:rPr>
          <w:rFonts w:ascii="华文仿宋" w:hAnsi="华文仿宋" w:eastAsia="华文仿宋"/>
          <w:sz w:val="28"/>
          <w:szCs w:val="28"/>
        </w:rPr>
        <w:t>》</w:t>
      </w:r>
      <w:r>
        <w:rPr>
          <w:rFonts w:hint="eastAsia" w:ascii="华文仿宋" w:hAnsi="华文仿宋" w:eastAsia="华文仿宋"/>
          <w:sz w:val="28"/>
          <w:szCs w:val="28"/>
        </w:rPr>
        <w:t>课程</w:t>
      </w:r>
      <w:r>
        <w:rPr>
          <w:rFonts w:ascii="华文仿宋" w:hAnsi="华文仿宋" w:eastAsia="华文仿宋"/>
          <w:sz w:val="28"/>
          <w:szCs w:val="28"/>
        </w:rPr>
        <w:t>教学提纲</w:t>
      </w:r>
    </w:p>
    <w:p>
      <w:pPr>
        <w:ind w:firstLine="1260" w:firstLineChars="45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《</w:t>
      </w:r>
      <w:r>
        <w:rPr>
          <w:rFonts w:ascii="宋体" w:hAnsi="宋体" w:cs="宋体"/>
          <w:b/>
          <w:bCs/>
          <w:sz w:val="28"/>
          <w:szCs w:val="28"/>
        </w:rPr>
        <w:t>College Chinese Language and Literature</w:t>
      </w:r>
      <w:r>
        <w:rPr>
          <w:rFonts w:hint="eastAsia" w:ascii="华文仿宋" w:hAnsi="华文仿宋" w:eastAsia="华文仿宋"/>
          <w:sz w:val="28"/>
          <w:szCs w:val="28"/>
        </w:rPr>
        <w:t>》</w:t>
      </w:r>
    </w:p>
    <w:p>
      <w:pPr>
        <w:jc w:val="center"/>
        <w:rPr>
          <w:rFonts w:ascii="华文仿宋" w:hAnsi="华文仿宋" w:eastAsia="华文仿宋"/>
          <w:sz w:val="28"/>
          <w:szCs w:val="28"/>
        </w:rPr>
      </w:pPr>
    </w:p>
    <w:p>
      <w:pPr>
        <w:pStyle w:val="7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一</w:t>
      </w:r>
      <w:r>
        <w:rPr>
          <w:rFonts w:ascii="华文仿宋" w:hAnsi="华文仿宋" w:eastAsia="华文仿宋"/>
          <w:b/>
          <w:bCs/>
          <w:sz w:val="24"/>
          <w:szCs w:val="24"/>
        </w:rPr>
        <w:t>、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 xml:space="preserve">课程基本信息（Basic Information of </w:t>
      </w:r>
      <w:r>
        <w:rPr>
          <w:rFonts w:ascii="华文仿宋" w:hAnsi="华文仿宋" w:eastAsia="华文仿宋"/>
          <w:b/>
          <w:bCs/>
          <w:sz w:val="24"/>
          <w:szCs w:val="24"/>
        </w:rPr>
        <w:t>Course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开课归属</w:t>
            </w:r>
            <w:r>
              <w:rPr>
                <w:rFonts w:ascii="华文仿宋" w:hAnsi="华文仿宋" w:eastAsia="华文仿宋"/>
              </w:rPr>
              <w:t>系部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ind w:left="47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基础部</w:t>
            </w:r>
          </w:p>
        </w:tc>
        <w:tc>
          <w:tcPr>
            <w:tcW w:w="1701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开课</w:t>
            </w:r>
            <w:r>
              <w:rPr>
                <w:rFonts w:ascii="华文仿宋" w:hAnsi="华文仿宋" w:eastAsia="华文仿宋"/>
              </w:rPr>
              <w:t>归属专业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公共</w:t>
            </w:r>
            <w:bookmarkStart w:id="0" w:name="_GoBack"/>
            <w:bookmarkEnd w:id="0"/>
            <w:r>
              <w:rPr>
                <w:rFonts w:hint="eastAsia" w:ascii="华文仿宋" w:hAnsi="华文仿宋" w:eastAsia="华文仿宋"/>
              </w:rPr>
              <w:t>基础</w:t>
            </w:r>
            <w:r>
              <w:rPr>
                <w:rFonts w:hint="eastAsia" w:ascii="华文仿宋" w:hAnsi="华文仿宋" w:eastAsia="华文仿宋"/>
                <w:lang w:eastAsia="zh-CN"/>
              </w:rPr>
              <w:t>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学年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2015-2016</w:t>
            </w:r>
          </w:p>
        </w:tc>
        <w:tc>
          <w:tcPr>
            <w:tcW w:w="1134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学期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>■第一学期</w:t>
            </w:r>
            <w:r>
              <w:rPr>
                <w:lang w:eastAsia="zh-TW"/>
              </w:rPr>
              <w:t>(Fall)</w:t>
            </w:r>
            <w:r>
              <w:rPr>
                <w:rFonts w:hint="eastAsia" w:ascii="华文仿宋" w:hAnsi="华文仿宋" w:eastAsia="华文仿宋"/>
              </w:rPr>
              <w:t xml:space="preserve">  □第二学期</w:t>
            </w:r>
            <w:r>
              <w:rPr>
                <w:lang w:eastAsia="zh-TW"/>
              </w:rPr>
              <w:t>(Spring)</w:t>
            </w:r>
          </w:p>
          <w:p>
            <w:pPr>
              <w:snapToGrid w:val="0"/>
              <w:ind w:right="-108"/>
              <w:jc w:val="lef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课程名称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大学语文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课程号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Course ID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120611005</w:t>
            </w:r>
          </w:p>
        </w:tc>
        <w:tc>
          <w:tcPr>
            <w:tcW w:w="118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学分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</w:t>
            </w:r>
            <w:r>
              <w:rPr>
                <w:rFonts w:ascii="华文仿宋" w:hAnsi="华文仿宋" w:eastAsia="华文仿宋"/>
              </w:rPr>
              <w:t>英文名称</w:t>
            </w:r>
          </w:p>
        </w:tc>
        <w:tc>
          <w:tcPr>
            <w:tcW w:w="6120" w:type="dxa"/>
            <w:gridSpan w:val="4"/>
            <w:vAlign w:val="center"/>
          </w:tcPr>
          <w:p>
            <w:pPr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 w:cs="宋体"/>
                <w:bCs/>
                <w:szCs w:val="21"/>
              </w:rPr>
              <w:t>College Chinese Language and Literature</w:t>
            </w:r>
          </w:p>
        </w:tc>
        <w:tc>
          <w:tcPr>
            <w:tcW w:w="118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总学时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32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866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</w:t>
            </w:r>
            <w:r>
              <w:rPr>
                <w:rFonts w:ascii="华文仿宋" w:hAnsi="华文仿宋" w:eastAsia="华文仿宋"/>
              </w:rPr>
              <w:t>属性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 w:cs="Times New Roman"/>
                <w:kern w:val="2"/>
                <w:sz w:val="21"/>
                <w:szCs w:val="22"/>
                <w:lang w:val="en-US" w:eastAsia="zh-CN" w:bidi="ar-SA"/>
              </w:rPr>
              <w:pict>
                <v:rect id="文本框 1" o:spid="_x0000_s1026" style="position:absolute;left:0;margin-left:324.95pt;margin-top:9.55pt;height:20.1pt;width:89.5pt;rotation:0f;z-index:-251658240;" o:ole="f" fillcolor="#FFFFFF" filled="t" o:preferrelative="t" stroked="f" coordsize="21600,21600">
                  <v:imagedata gain="65536f" blacklevel="0f" gamma="0"/>
                  <o:lock v:ext="edit" position="f" selection="f" grouping="f" rotation="f" cropping="f" text="f" aspectratio="f"/>
                  <v:textbox>
                    <w:txbxContent>
                      <w:p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12级</w:t>
                        </w:r>
                        <w:r>
                          <w:rPr>
                            <w:sz w:val="13"/>
                          </w:rPr>
                          <w:t>以前</w:t>
                        </w:r>
                        <w:r>
                          <w:rPr>
                            <w:rFonts w:hint="eastAsia"/>
                            <w:sz w:val="13"/>
                          </w:rPr>
                          <w:t>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</w:txbxContent>
                  </v:textbox>
                </v:rect>
              </w:pict>
            </w:r>
            <w:r>
              <w:rPr>
                <w:rFonts w:hint="eastAsia" w:ascii="华文仿宋" w:hAnsi="华文仿宋" w:eastAsia="华文仿宋"/>
              </w:rPr>
              <w:t>□公共基础</w:t>
            </w:r>
            <w:r>
              <w:rPr>
                <w:rFonts w:ascii="华文仿宋" w:hAnsi="华文仿宋" w:eastAsia="华文仿宋"/>
              </w:rPr>
              <w:t>必修课</w:t>
            </w:r>
            <w:r>
              <w:rPr>
                <w:rFonts w:hint="eastAsia" w:ascii="华文仿宋" w:hAnsi="华文仿宋" w:eastAsia="华文仿宋"/>
              </w:rPr>
              <w:t>□专业基础</w:t>
            </w:r>
            <w:r>
              <w:rPr>
                <w:rFonts w:ascii="华文仿宋" w:hAnsi="华文仿宋" w:eastAsia="华文仿宋"/>
              </w:rPr>
              <w:t>必修课</w:t>
            </w:r>
            <w:r>
              <w:rPr>
                <w:rFonts w:hint="eastAsia" w:ascii="华文仿宋" w:hAnsi="华文仿宋" w:eastAsia="华文仿宋"/>
              </w:rPr>
              <w:t>□</w:t>
            </w:r>
            <w:r>
              <w:rPr>
                <w:rFonts w:ascii="华文仿宋" w:hAnsi="华文仿宋" w:eastAsia="华文仿宋"/>
              </w:rPr>
              <w:t>专业选修课</w:t>
            </w:r>
            <w:r>
              <w:rPr>
                <w:rFonts w:hint="eastAsia" w:ascii="华文仿宋" w:hAnsi="华文仿宋" w:eastAsia="华文仿宋"/>
              </w:rPr>
              <w:t xml:space="preserve">  □公共选修课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8398" w:type="dxa"/>
            <w:gridSpan w:val="6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 w:cs="Times New Roman"/>
                <w:kern w:val="2"/>
                <w:sz w:val="21"/>
                <w:szCs w:val="22"/>
                <w:lang w:val="en-US" w:eastAsia="zh-CN" w:bidi="ar-SA"/>
              </w:rPr>
              <w:pict>
                <v:rect id="文本框 2" o:spid="_x0000_s1027" style="position:absolute;left:0;margin-left:330.65pt;margin-top:13.7pt;height:20.75pt;width:84.8pt;rotation:0f;z-index:-251657216;" o:ole="f" fillcolor="#FFFFFF" filled="t" o:preferrelative="t" stroked="f" coordsize="21600,21600">
                  <v:imagedata gain="65536f" blacklevel="0f" gamma="0"/>
                  <o:lock v:ext="edit" position="f" selection="f" grouping="f" rotation="f" cropping="f" text="f" aspectratio="f"/>
                  <v:textbox>
                    <w:txbxContent>
                      <w:p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</w:t>
                        </w:r>
                        <w:r>
                          <w:rPr>
                            <w:sz w:val="13"/>
                          </w:rPr>
                          <w:t>3</w:t>
                        </w:r>
                        <w:r>
                          <w:rPr>
                            <w:rFonts w:hint="eastAsia"/>
                            <w:sz w:val="13"/>
                          </w:rPr>
                          <w:t>以后开设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  <w:p/>
                    </w:txbxContent>
                  </v:textbox>
                </v:rect>
              </w:pict>
            </w:r>
            <w:r>
              <w:rPr>
                <w:rFonts w:hint="eastAsia" w:ascii="华文仿宋" w:hAnsi="华文仿宋" w:eastAsia="华文仿宋"/>
              </w:rPr>
              <w:t>□通识基础课程  ■通识选修课程  □专业基础课程  □专业方向课程 □专业选修课程</w:t>
            </w:r>
          </w:p>
        </w:tc>
      </w:tr>
    </w:tbl>
    <w:p>
      <w:pPr>
        <w:pStyle w:val="7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</w:p>
    <w:p>
      <w:pPr>
        <w:pStyle w:val="7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二、任课教师基本信息（Basic Information of Teachers）</w:t>
      </w:r>
    </w:p>
    <w:tbl>
      <w:tblPr>
        <w:tblpPr w:leftFromText="180" w:rightFromText="180" w:vertAnchor="text" w:horzAnchor="margin" w:tblpXSpec="center" w:tblpY="140"/>
        <w:tblW w:w="99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教师</w:t>
            </w:r>
            <w:r>
              <w:rPr>
                <w:rFonts w:ascii="华文仿宋" w:hAnsi="华文仿宋" w:eastAsia="华文仿宋"/>
              </w:rPr>
              <w:t>信息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姓名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N</w:t>
            </w:r>
            <w:r>
              <w:rPr>
                <w:rFonts w:hint="eastAsia" w:ascii="华文仿宋" w:hAnsi="华文仿宋" w:eastAsia="华文仿宋"/>
              </w:rPr>
              <w:t>ame</w:t>
            </w:r>
          </w:p>
        </w:tc>
        <w:tc>
          <w:tcPr>
            <w:tcW w:w="1684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吕志芳</w:t>
            </w:r>
          </w:p>
        </w:tc>
        <w:tc>
          <w:tcPr>
            <w:tcW w:w="1417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性别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Gender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女</w:t>
            </w:r>
          </w:p>
        </w:tc>
        <w:tc>
          <w:tcPr>
            <w:tcW w:w="1236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所属部门</w:t>
            </w:r>
          </w:p>
        </w:tc>
        <w:tc>
          <w:tcPr>
            <w:tcW w:w="180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基础部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聘任</w:t>
            </w:r>
            <w:r>
              <w:rPr>
                <w:rFonts w:ascii="华文仿宋" w:hAnsi="华文仿宋" w:eastAsia="华文仿宋"/>
              </w:rPr>
              <w:t>方式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  <w:sz w:val="16"/>
              </w:rPr>
              <w:t>Recruitment Channel</w:t>
            </w:r>
          </w:p>
        </w:tc>
        <w:tc>
          <w:tcPr>
            <w:tcW w:w="7135" w:type="dxa"/>
            <w:gridSpan w:val="7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■专职教师 □外聘教师  □行政兼职教师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职称Title</w:t>
            </w:r>
          </w:p>
        </w:tc>
        <w:tc>
          <w:tcPr>
            <w:tcW w:w="7135" w:type="dxa"/>
            <w:gridSpan w:val="7"/>
            <w:vAlign w:val="center"/>
          </w:tcPr>
          <w:p>
            <w:pPr>
              <w:spacing w:line="280" w:lineRule="exact"/>
              <w:ind w:firstLine="105" w:firstLineChars="50"/>
              <w:jc w:val="lef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□教授    □副教授  ■讲师    □助教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最高</w:t>
            </w:r>
            <w:r>
              <w:rPr>
                <w:rFonts w:ascii="华文仿宋" w:hAnsi="华文仿宋" w:eastAsia="华文仿宋"/>
              </w:rPr>
              <w:t>学历</w:t>
            </w:r>
            <w:r>
              <w:rPr>
                <w:rFonts w:hint="eastAsia" w:ascii="华文仿宋" w:hAnsi="华文仿宋" w:eastAsia="华文仿宋"/>
              </w:rPr>
              <w:t>/学位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硕士研究生</w:t>
            </w:r>
          </w:p>
        </w:tc>
        <w:tc>
          <w:tcPr>
            <w:tcW w:w="201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专业</w:t>
            </w:r>
            <w:r>
              <w:rPr>
                <w:rFonts w:hint="eastAsia" w:ascii="华文仿宋" w:hAnsi="华文仿宋" w:eastAsia="华文仿宋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办公</w:t>
            </w:r>
            <w:r>
              <w:rPr>
                <w:rFonts w:ascii="华文仿宋" w:hAnsi="华文仿宋" w:eastAsia="华文仿宋"/>
              </w:rPr>
              <w:t>电话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移动</w:t>
            </w:r>
            <w:r>
              <w:rPr>
                <w:rFonts w:ascii="华文仿宋" w:hAnsi="华文仿宋" w:eastAsia="华文仿宋"/>
              </w:rPr>
              <w:t>电话</w:t>
            </w:r>
          </w:p>
        </w:tc>
        <w:tc>
          <w:tcPr>
            <w:tcW w:w="3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18810499051</w:t>
            </w:r>
          </w:p>
        </w:tc>
        <w:tc>
          <w:tcPr>
            <w:tcW w:w="201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办公室</w:t>
            </w:r>
            <w:r>
              <w:rPr>
                <w:rFonts w:ascii="华文仿宋" w:hAnsi="华文仿宋" w:eastAsia="华文仿宋"/>
              </w:rPr>
              <w:t>地址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行政楼302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答疑</w:t>
            </w:r>
            <w:r>
              <w:rPr>
                <w:rFonts w:ascii="华文仿宋" w:hAnsi="华文仿宋" w:eastAsia="华文仿宋"/>
              </w:rPr>
              <w:t>时间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周二周四下午</w:t>
            </w:r>
          </w:p>
        </w:tc>
        <w:tc>
          <w:tcPr>
            <w:tcW w:w="201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电子邮箱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E-</w:t>
            </w:r>
            <w:r>
              <w:rPr>
                <w:rFonts w:ascii="华文仿宋" w:hAnsi="华文仿宋" w:eastAsia="华文仿宋"/>
              </w:rPr>
              <w:t>mail</w:t>
            </w:r>
          </w:p>
        </w:tc>
        <w:tc>
          <w:tcPr>
            <w:tcW w:w="202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16"/>
              </w:rPr>
            </w:pPr>
            <w:r>
              <w:rPr>
                <w:rFonts w:ascii="华文仿宋" w:hAnsi="华文仿宋" w:eastAsia="华文仿宋"/>
                <w:sz w:val="16"/>
              </w:rPr>
              <w:t>L</w:t>
            </w:r>
            <w:r>
              <w:rPr>
                <w:rFonts w:hint="eastAsia" w:ascii="华文仿宋" w:hAnsi="华文仿宋" w:eastAsia="华文仿宋"/>
                <w:sz w:val="16"/>
              </w:rPr>
              <w:t>zfang0123@163.com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答疑</w:t>
            </w:r>
            <w:r>
              <w:rPr>
                <w:rFonts w:ascii="华文仿宋" w:hAnsi="华文仿宋" w:eastAsia="华文仿宋"/>
              </w:rPr>
              <w:t>地点</w:t>
            </w:r>
          </w:p>
        </w:tc>
        <w:tc>
          <w:tcPr>
            <w:tcW w:w="3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德育中心办公室</w:t>
            </w:r>
          </w:p>
        </w:tc>
        <w:tc>
          <w:tcPr>
            <w:tcW w:w="201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QQ</w:t>
            </w:r>
            <w:r>
              <w:rPr>
                <w:rFonts w:ascii="华文仿宋" w:hAnsi="华文仿宋" w:eastAsia="华文仿宋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16"/>
              </w:rPr>
            </w:pPr>
            <w:r>
              <w:rPr>
                <w:rFonts w:hint="eastAsia" w:ascii="华文仿宋" w:hAnsi="华文仿宋" w:eastAsia="华文仿宋"/>
                <w:sz w:val="16"/>
              </w:rPr>
              <w:t>18810499051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是</w:t>
            </w:r>
            <w:r>
              <w:rPr>
                <w:rFonts w:ascii="华文仿宋" w:hAnsi="华文仿宋" w:eastAsia="华文仿宋"/>
              </w:rPr>
              <w:t>否具有</w:t>
            </w:r>
            <w:r>
              <w:rPr>
                <w:rFonts w:hint="eastAsia" w:ascii="华文仿宋" w:hAnsi="华文仿宋" w:eastAsia="华文仿宋"/>
              </w:rPr>
              <w:t>高校</w:t>
            </w:r>
            <w:r>
              <w:rPr>
                <w:rFonts w:ascii="华文仿宋" w:hAnsi="华文仿宋" w:eastAsia="华文仿宋"/>
              </w:rPr>
              <w:t>教师资格证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>
            <w:pPr>
              <w:spacing w:line="280" w:lineRule="exact"/>
              <w:ind w:firstLine="210" w:firstLineChars="100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■是    □否</w:t>
            </w:r>
          </w:p>
        </w:tc>
      </w:tr>
    </w:tbl>
    <w:p>
      <w:pPr>
        <w:jc w:val="left"/>
        <w:rPr>
          <w:rFonts w:ascii="华文仿宋" w:hAnsi="华文仿宋" w:eastAsia="华文仿宋"/>
          <w:sz w:val="28"/>
          <w:szCs w:val="28"/>
        </w:rPr>
      </w:pPr>
    </w:p>
    <w:p>
      <w:pPr>
        <w:jc w:val="left"/>
        <w:rPr>
          <w:rFonts w:ascii="华文仿宋" w:hAnsi="华文仿宋" w:eastAsia="华文仿宋"/>
          <w:sz w:val="28"/>
          <w:szCs w:val="28"/>
        </w:rPr>
      </w:pPr>
    </w:p>
    <w:p>
      <w:pPr>
        <w:jc w:val="left"/>
        <w:rPr>
          <w:rFonts w:ascii="华文仿宋" w:hAnsi="华文仿宋" w:eastAsia="华文仿宋"/>
          <w:sz w:val="28"/>
          <w:szCs w:val="28"/>
        </w:rPr>
      </w:pPr>
    </w:p>
    <w:p>
      <w:pPr>
        <w:pStyle w:val="7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三、课程简介及教学目的（</w:t>
      </w:r>
      <w:r>
        <w:rPr>
          <w:rFonts w:ascii="华文仿宋" w:hAnsi="华文仿宋" w:eastAsia="华文仿宋"/>
          <w:b/>
          <w:bCs/>
          <w:sz w:val="24"/>
          <w:szCs w:val="24"/>
        </w:rPr>
        <w:t xml:space="preserve">Course 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>d</w:t>
      </w:r>
      <w:r>
        <w:rPr>
          <w:rFonts w:ascii="华文仿宋" w:hAnsi="华文仿宋" w:eastAsia="华文仿宋"/>
          <w:b/>
          <w:bCs/>
          <w:sz w:val="24"/>
          <w:szCs w:val="24"/>
        </w:rPr>
        <w:t>escription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 xml:space="preserve"> and purpose）</w:t>
      </w:r>
    </w:p>
    <w:tbl>
      <w:tblPr>
        <w:tblW w:w="10065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0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0065" w:type="dxa"/>
            <w:vAlign w:val="top"/>
          </w:tcPr>
          <w:p>
            <w:pPr>
              <w:ind w:firstLine="412" w:firstLineChars="196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《大学语文》是一门以人文素质教育为核心，培养学生职业能力和职业素养，全面提升学生软实力的公共基础选修课。目的是将美育、德育和智育相交融，在教学中融语文教育的工具性、人文性、审美性与开放性于一体，对学生的语文能力、知识、职业道德和人文素养进行集成培养。在学生已有的中学语文知识基础上，注重提高学生的人文素养和语文应用能力，以提高学生的职业能力和职业素养；将“大语文”的观念贯穿始终，力求凸显课程“人文与技能融和”的教学特色。 </w:t>
            </w:r>
          </w:p>
          <w:p>
            <w:pPr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</w:tbl>
    <w:p>
      <w:pPr>
        <w:jc w:val="left"/>
        <w:rPr>
          <w:rFonts w:ascii="华文仿宋" w:hAnsi="华文仿宋" w:eastAsia="华文仿宋"/>
          <w:sz w:val="28"/>
          <w:szCs w:val="28"/>
        </w:rPr>
      </w:pPr>
    </w:p>
    <w:p>
      <w:pPr>
        <w:pStyle w:val="7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四、课程学习目标及学习效果(Course objectives/ Learning outcomes)</w:t>
      </w:r>
    </w:p>
    <w:tbl>
      <w:tblPr>
        <w:tblW w:w="10065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0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563" w:hRule="atLeast"/>
        </w:trPr>
        <w:tc>
          <w:tcPr>
            <w:tcW w:w="10065" w:type="dxa"/>
            <w:vAlign w:val="top"/>
          </w:tcPr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注：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请根据课程性质及特点，按创建、评估、分析、应用、了解、记住六个层次说明</w:t>
            </w:r>
          </w:p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创建：创建人文素质教育的理念和学生阅读的习惯</w:t>
            </w:r>
          </w:p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评估：评估学生已有的人文素养和语文应用能力</w:t>
            </w: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分析：分析学生存在的问题</w:t>
            </w: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应用：注重学生语文应用能力的培养</w:t>
            </w: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了解：文学常识与文学作品</w:t>
            </w: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记住：应用文体的写作与练习</w:t>
            </w: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</w:p>
          <w:p>
            <w:pPr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</w:p>
          <w:p>
            <w:pPr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</w:tbl>
    <w:p>
      <w:pPr>
        <w:pStyle w:val="7"/>
        <w:numPr>
          <w:ilvl w:val="0"/>
          <w:numId w:val="1"/>
        </w:numPr>
        <w:ind w:firstLineChars="0"/>
        <w:jc w:val="left"/>
        <w:rPr>
          <w:rFonts w:ascii="华文仿宋" w:hAnsi="华文仿宋" w:eastAsia="华文仿宋"/>
          <w:sz w:val="28"/>
          <w:szCs w:val="28"/>
        </w:rPr>
        <w:sectPr>
          <w:pgSz w:w="11906" w:h="16838"/>
          <w:pgMar w:top="1440" w:right="1800" w:bottom="1135" w:left="1800" w:header="851" w:footer="992" w:gutter="0"/>
          <w:cols w:space="425" w:num="1"/>
          <w:docGrid w:type="lines" w:linePitch="312" w:charSpace="0"/>
        </w:sectPr>
      </w:pPr>
    </w:p>
    <w:p>
      <w:pPr>
        <w:widowControl/>
        <w:spacing w:line="360" w:lineRule="auto"/>
        <w:ind w:left="480"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五、课程内容及教学进度表（</w:t>
      </w:r>
      <w:r>
        <w:rPr>
          <w:rFonts w:ascii="仿宋_GB2312" w:hAnsi="宋体" w:eastAsia="仿宋_GB2312" w:cs="宋体"/>
          <w:b/>
          <w:bCs/>
          <w:kern w:val="0"/>
          <w:sz w:val="24"/>
          <w:szCs w:val="24"/>
        </w:rPr>
        <w:t xml:space="preserve">Course </w:t>
      </w: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content and scheule）</w:t>
      </w:r>
    </w:p>
    <w:tbl>
      <w:tblPr>
        <w:tblW w:w="100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275"/>
        <w:gridCol w:w="4492"/>
        <w:gridCol w:w="1316"/>
        <w:gridCol w:w="72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tblHeader/>
          <w:jc w:val="center"/>
        </w:trPr>
        <w:tc>
          <w:tcPr>
            <w:tcW w:w="1129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教学周次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Week</w:t>
            </w:r>
          </w:p>
        </w:tc>
        <w:tc>
          <w:tcPr>
            <w:tcW w:w="1275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日期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Date</w:t>
            </w:r>
          </w:p>
        </w:tc>
        <w:tc>
          <w:tcPr>
            <w:tcW w:w="4492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章节题目及内容提要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Topic &amp; Abstract</w:t>
            </w:r>
          </w:p>
        </w:tc>
        <w:tc>
          <w:tcPr>
            <w:tcW w:w="1316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授课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方式</w:t>
            </w:r>
          </w:p>
        </w:tc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学时</w:t>
            </w:r>
          </w:p>
        </w:tc>
        <w:tc>
          <w:tcPr>
            <w:tcW w:w="1080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作业、练习及测验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</w:t>
            </w:r>
          </w:p>
        </w:tc>
        <w:tc>
          <w:tcPr>
            <w:tcW w:w="127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9月10日</w:t>
            </w:r>
          </w:p>
        </w:tc>
        <w:tc>
          <w:tcPr>
            <w:tcW w:w="4492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绪论、周作人《我学国文的经验》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制定学习计划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2</w:t>
            </w:r>
          </w:p>
        </w:tc>
        <w:tc>
          <w:tcPr>
            <w:tcW w:w="127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9月17日</w:t>
            </w:r>
          </w:p>
        </w:tc>
        <w:tc>
          <w:tcPr>
            <w:tcW w:w="4492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王蒙《语言的功能与陷阱》与思辨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讨论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思考题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3</w:t>
            </w:r>
          </w:p>
        </w:tc>
        <w:tc>
          <w:tcPr>
            <w:tcW w:w="127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9月24</w:t>
            </w:r>
          </w:p>
        </w:tc>
        <w:tc>
          <w:tcPr>
            <w:tcW w:w="4492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范曾《梵高的坟茔》与艺术欣赏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欣赏、讨论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艺术作品欣赏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4</w:t>
            </w:r>
          </w:p>
        </w:tc>
        <w:tc>
          <w:tcPr>
            <w:tcW w:w="127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10月1日</w:t>
            </w:r>
          </w:p>
        </w:tc>
        <w:tc>
          <w:tcPr>
            <w:tcW w:w="4492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应用文体的写作、普通话等级证书考试辅导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写作训练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5</w:t>
            </w:r>
          </w:p>
        </w:tc>
        <w:tc>
          <w:tcPr>
            <w:tcW w:w="127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10月8日</w:t>
            </w:r>
          </w:p>
        </w:tc>
        <w:tc>
          <w:tcPr>
            <w:tcW w:w="4492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王小波《一只特立独行的猪》与思想性随笔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阅读、讨论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阅读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6</w:t>
            </w:r>
          </w:p>
        </w:tc>
        <w:tc>
          <w:tcPr>
            <w:tcW w:w="127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10月15日</w:t>
            </w:r>
          </w:p>
        </w:tc>
        <w:tc>
          <w:tcPr>
            <w:tcW w:w="4492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张爱玲《天才梦》与自传、女性文学</w:t>
            </w:r>
          </w:p>
        </w:tc>
        <w:tc>
          <w:tcPr>
            <w:tcW w:w="131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讲授、讨论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自传写作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7</w:t>
            </w:r>
          </w:p>
        </w:tc>
        <w:tc>
          <w:tcPr>
            <w:tcW w:w="127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10月22日</w:t>
            </w:r>
          </w:p>
        </w:tc>
        <w:tc>
          <w:tcPr>
            <w:tcW w:w="4492" w:type="dxa"/>
            <w:tcBorders>
              <w:bottom w:val="single" w:color="auto" w:sz="4" w:space="0"/>
              <w:tl2br w:val="nil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汪曾祺《金岳霖先生》与人物散文</w:t>
            </w:r>
          </w:p>
        </w:tc>
        <w:tc>
          <w:tcPr>
            <w:tcW w:w="1316" w:type="dxa"/>
            <w:tcBorders>
              <w:bottom w:val="single" w:color="auto" w:sz="4" w:space="0"/>
              <w:tl2br w:val="nil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讲授、讨论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阅读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8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10月29日</w:t>
            </w:r>
          </w:p>
        </w:tc>
        <w:tc>
          <w:tcPr>
            <w:tcW w:w="4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沈从文《鸭窠围的夜》与文化游记</w:t>
            </w:r>
          </w:p>
        </w:tc>
        <w:tc>
          <w:tcPr>
            <w:tcW w:w="1316" w:type="dxa"/>
            <w:tcBorders>
              <w:left w:val="single" w:color="auto" w:sz="4" w:space="0"/>
              <w:tl2br w:val="nil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讲授、讨论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游记写作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9</w:t>
            </w:r>
          </w:p>
        </w:tc>
        <w:tc>
          <w:tcPr>
            <w:tcW w:w="127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11月5日</w:t>
            </w:r>
          </w:p>
        </w:tc>
        <w:tc>
          <w:tcPr>
            <w:tcW w:w="4492" w:type="dxa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刘义庆《世说新语·任诞》与志人小说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翻译、讨论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阅读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10</w:t>
            </w:r>
          </w:p>
        </w:tc>
        <w:tc>
          <w:tcPr>
            <w:tcW w:w="127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11月12日</w:t>
            </w:r>
          </w:p>
        </w:tc>
        <w:tc>
          <w:tcPr>
            <w:tcW w:w="4492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袁宏道《徐文长传》与人物传记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学生讲解、讨论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阅读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11</w:t>
            </w:r>
          </w:p>
        </w:tc>
        <w:tc>
          <w:tcPr>
            <w:tcW w:w="127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11月19日</w:t>
            </w:r>
          </w:p>
        </w:tc>
        <w:tc>
          <w:tcPr>
            <w:tcW w:w="4492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罗大佑《现象七十二变》与歌词创作、赏析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欣赏、评论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歌词赏析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11月26日</w:t>
            </w:r>
          </w:p>
        </w:tc>
        <w:tc>
          <w:tcPr>
            <w:tcW w:w="4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戴望舒《萧红墓畔口占》与中国现代诗歌发展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讲授、诗歌朗诵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阅读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12月3日</w:t>
            </w:r>
          </w:p>
        </w:tc>
        <w:tc>
          <w:tcPr>
            <w:tcW w:w="4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纳兰性德《金缕曲（赠梁汾）》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讲授、讨论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阅读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14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12月10日</w:t>
            </w:r>
          </w:p>
        </w:tc>
        <w:tc>
          <w:tcPr>
            <w:tcW w:w="4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结合余华作品《活着》观看影片与文学评论的写作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欣赏、写作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影评写作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12月17日</w:t>
            </w:r>
          </w:p>
        </w:tc>
        <w:tc>
          <w:tcPr>
            <w:tcW w:w="4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丘吉尔《热血、辛劳、汗水与眼泪》与演讲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讲授与练习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华文仿宋" w:hAnsi="华文仿宋" w:eastAsia="华文仿宋"/>
                <w:color w:val="000000"/>
                <w:kern w:val="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kern w:val="0"/>
                <w:szCs w:val="21"/>
              </w:rPr>
              <w:t>演讲练习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16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12月24日</w:t>
            </w:r>
          </w:p>
        </w:tc>
        <w:tc>
          <w:tcPr>
            <w:tcW w:w="4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随堂测验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测验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华文仿宋" w:hAnsi="华文仿宋" w:eastAsia="华文仿宋"/>
                <w:color w:val="000000"/>
                <w:kern w:val="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kern w:val="0"/>
                <w:szCs w:val="21"/>
              </w:rPr>
              <w:t>测验</w:t>
            </w:r>
          </w:p>
        </w:tc>
      </w:tr>
    </w:tbl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六、课程教学方法（Pedagogieal methods）</w:t>
      </w:r>
    </w:p>
    <w:tbl>
      <w:tblPr>
        <w:tblW w:w="985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496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教学方法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ascii="华文仿宋" w:hAnsi="华文仿宋" w:eastAsia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方法Method</w:t>
            </w:r>
          </w:p>
        </w:tc>
        <w:tc>
          <w:tcPr>
            <w:tcW w:w="891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%</w:t>
            </w:r>
          </w:p>
        </w:tc>
        <w:tc>
          <w:tcPr>
            <w:tcW w:w="1909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方法Method</w:t>
            </w:r>
          </w:p>
        </w:tc>
        <w:tc>
          <w:tcPr>
            <w:tcW w:w="92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%</w:t>
            </w:r>
          </w:p>
        </w:tc>
        <w:tc>
          <w:tcPr>
            <w:tcW w:w="190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方法Method</w:t>
            </w:r>
          </w:p>
        </w:tc>
        <w:tc>
          <w:tcPr>
            <w:tcW w:w="929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571"/>
                <w:kern w:val="0"/>
              </w:rPr>
              <w:t>讲</w:t>
            </w:r>
            <w:r>
              <w:rPr>
                <w:rFonts w:hint="eastAsia" w:ascii="华文仿宋" w:hAnsi="华文仿宋" w:eastAsia="华文仿宋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50</w:t>
            </w: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专  题   讲   座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0</w:t>
            </w: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  堂   讨  论</w:t>
            </w:r>
          </w:p>
        </w:tc>
        <w:tc>
          <w:tcPr>
            <w:tcW w:w="92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120"/>
                <w:kern w:val="0"/>
              </w:rPr>
              <w:t>案例研</w:t>
            </w:r>
            <w:r>
              <w:rPr>
                <w:rFonts w:hint="eastAsia" w:ascii="华文仿宋" w:hAnsi="华文仿宋" w:eastAsia="华文仿宋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0</w:t>
            </w: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135"/>
                <w:kern w:val="0"/>
              </w:rPr>
              <w:t>校外参</w:t>
            </w:r>
            <w:r>
              <w:rPr>
                <w:rFonts w:hint="eastAsia" w:ascii="华文仿宋" w:hAnsi="华文仿宋" w:eastAsia="华文仿宋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0</w:t>
            </w: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实  验 室 实训</w:t>
            </w: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0</w:t>
            </w: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企   业  实   习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0</w:t>
            </w: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阅  读   指  导</w:t>
            </w: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120"/>
                <w:kern w:val="0"/>
              </w:rPr>
              <w:t>实践教</w:t>
            </w:r>
            <w:r>
              <w:rPr>
                <w:rFonts w:hint="eastAsia" w:ascii="华文仿宋" w:hAnsi="华文仿宋" w:eastAsia="华文仿宋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0</w:t>
            </w: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社   会  调   查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0</w:t>
            </w: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625"/>
                <w:kern w:val="0"/>
              </w:rPr>
              <w:t>其</w:t>
            </w:r>
            <w:r>
              <w:rPr>
                <w:rFonts w:hint="eastAsia" w:ascii="华文仿宋" w:hAnsi="华文仿宋" w:eastAsia="华文仿宋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45"/>
                <w:lang w:eastAsia="zh-TW"/>
              </w:rPr>
            </w:pP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119"/>
                <w:lang w:eastAsia="zh-TW"/>
              </w:rPr>
            </w:pP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9854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rFonts w:ascii="华文仿宋" w:hAnsi="华文仿宋" w:eastAsia="华文仿宋"/>
                <w:sz w:val="20"/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>说明：.其他教学方法为文学作品改编成的影视作品欣赏及影评的写作介绍。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54" w:type="dxa"/>
            <w:gridSpan w:val="7"/>
            <w:vAlign w:val="center"/>
          </w:tcPr>
          <w:p>
            <w:pPr>
              <w:spacing w:line="280" w:lineRule="exact"/>
              <w:ind w:left="800" w:hanging="800" w:hangingChars="400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  <w:r>
              <w:rPr>
                <w:rFonts w:hint="eastAsia" w:ascii="华文仿宋" w:hAnsi="华文仿宋" w:eastAsia="华文仿宋"/>
                <w:sz w:val="20"/>
                <w:szCs w:val="20"/>
              </w:rPr>
              <w:t>备注：若使用其他教学方法，请自行说明。若所列之教学方法未使用，只需于百分比字段中填“</w:t>
            </w:r>
            <w:r>
              <w:rPr>
                <w:rFonts w:ascii="华文仿宋" w:hAnsi="华文仿宋" w:eastAsia="华文仿宋"/>
                <w:sz w:val="20"/>
                <w:szCs w:val="20"/>
              </w:rPr>
              <w:t>0”</w:t>
            </w:r>
            <w:r>
              <w:rPr>
                <w:rFonts w:hint="eastAsia" w:ascii="华文仿宋" w:hAnsi="华文仿宋" w:eastAsia="华文仿宋"/>
                <w:sz w:val="20"/>
                <w:szCs w:val="20"/>
              </w:rPr>
              <w:t>。各项总合须等于</w:t>
            </w:r>
            <w:r>
              <w:rPr>
                <w:rFonts w:ascii="华文仿宋" w:hAnsi="华文仿宋" w:eastAsia="华文仿宋"/>
                <w:sz w:val="20"/>
                <w:szCs w:val="20"/>
              </w:rPr>
              <w:t xml:space="preserve">100%                           </w:t>
            </w:r>
          </w:p>
        </w:tc>
      </w:tr>
    </w:tbl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七、教材及相关阅读资料（Text books and other readings）</w:t>
      </w:r>
    </w:p>
    <w:tbl>
      <w:tblPr>
        <w:tblW w:w="1026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6"/>
        <w:gridCol w:w="83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选用教材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>
            <w:pPr>
              <w:spacing w:line="360" w:lineRule="auto"/>
              <w:ind w:firstLine="420" w:firstLineChars="200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教材：</w:t>
            </w:r>
            <w:r>
              <w:rPr>
                <w:rFonts w:ascii="华文仿宋" w:hAnsi="华文仿宋" w:eastAsia="华文仿宋"/>
                <w:color w:val="000000"/>
                <w:szCs w:val="21"/>
              </w:rPr>
              <w:t>《大学语文》</w:t>
            </w: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（第二版），</w:t>
            </w:r>
            <w:r>
              <w:rPr>
                <w:rFonts w:ascii="华文仿宋" w:hAnsi="华文仿宋" w:eastAsia="华文仿宋"/>
                <w:color w:val="000000"/>
                <w:szCs w:val="21"/>
              </w:rPr>
              <w:t>陈洪主编</w:t>
            </w: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，高等教育出版社，2009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参考教材及</w:t>
            </w:r>
            <w:r>
              <w:rPr>
                <w:rFonts w:ascii="华文仿宋" w:hAnsi="华文仿宋" w:eastAsia="华文仿宋"/>
              </w:rPr>
              <w:t>文献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>
            <w:pPr>
              <w:spacing w:line="360" w:lineRule="auto"/>
              <w:ind w:firstLine="420" w:firstLineChars="200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《大学语文》拓展读本，陈洪、李瑞山选编，高等教育出版社，2009</w:t>
            </w:r>
          </w:p>
        </w:tc>
      </w:tr>
    </w:tbl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八、课程要求（Course partiation requirement）</w:t>
      </w:r>
    </w:p>
    <w:tbl>
      <w:tblPr>
        <w:tblW w:w="1026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先修课程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P</w:t>
            </w:r>
            <w:r>
              <w:rPr>
                <w:rFonts w:hint="eastAsia" w:ascii="华文仿宋" w:hAnsi="华文仿宋" w:eastAsia="华文仿宋"/>
              </w:rPr>
              <w:t xml:space="preserve">rerequisite </w:t>
            </w:r>
            <w:r>
              <w:rPr>
                <w:rFonts w:ascii="华文仿宋" w:hAnsi="华文仿宋" w:eastAsia="华文仿宋"/>
              </w:rPr>
              <w:t>Course</w:t>
            </w:r>
          </w:p>
        </w:tc>
        <w:tc>
          <w:tcPr>
            <w:tcW w:w="8398" w:type="dxa"/>
            <w:gridSpan w:val="8"/>
            <w:vAlign w:val="top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中学语文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课前预习方法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  <w:szCs w:val="21"/>
              </w:rPr>
              <w:t xml:space="preserve">Preview </w:t>
            </w:r>
            <w:r>
              <w:rPr>
                <w:rFonts w:hint="eastAsia" w:ascii="华文仿宋" w:hAnsi="华文仿宋" w:eastAsia="华文仿宋"/>
                <w:szCs w:val="21"/>
              </w:rPr>
              <w:t>m</w:t>
            </w:r>
            <w:r>
              <w:rPr>
                <w:rFonts w:ascii="华文仿宋" w:hAnsi="华文仿宋" w:eastAsia="华文仿宋"/>
                <w:szCs w:val="21"/>
              </w:rPr>
              <w:t>ethods</w:t>
            </w:r>
          </w:p>
        </w:tc>
        <w:tc>
          <w:tcPr>
            <w:tcW w:w="8398" w:type="dxa"/>
            <w:gridSpan w:val="8"/>
            <w:vAlign w:val="top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文学作品阅读与思考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课程语言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 xml:space="preserve">■中文  </w:t>
            </w:r>
            <w:r>
              <w:rPr>
                <w:rFonts w:hint="eastAsia" w:ascii="华文仿宋" w:hAnsi="华文仿宋" w:eastAsia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/>
              </w:rPr>
              <w:t xml:space="preserve">外语  </w:t>
            </w:r>
            <w:r>
              <w:rPr>
                <w:rFonts w:hint="eastAsia" w:ascii="华文仿宋" w:hAnsi="华文仿宋" w:eastAsia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教材语言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 xml:space="preserve">■中文  </w:t>
            </w:r>
            <w:r>
              <w:rPr>
                <w:rFonts w:hint="eastAsia" w:ascii="华文仿宋" w:hAnsi="华文仿宋" w:eastAsia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/>
              </w:rPr>
              <w:t xml:space="preserve">外语  </w:t>
            </w:r>
            <w:r>
              <w:rPr>
                <w:rFonts w:hint="eastAsia" w:ascii="华文仿宋" w:hAnsi="华文仿宋" w:eastAsia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/>
              </w:rPr>
              <w:t>双语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1866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考核</w:t>
            </w:r>
            <w:r>
              <w:rPr>
                <w:rFonts w:ascii="华文仿宋" w:hAnsi="华文仿宋" w:eastAsia="华文仿宋"/>
              </w:rPr>
              <w:t>方式</w:t>
            </w:r>
          </w:p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>□</w:t>
            </w:r>
            <w:r>
              <w:rPr>
                <w:rFonts w:hint="eastAsia" w:ascii="华文仿宋" w:hAnsi="华文仿宋" w:eastAsia="华文仿宋"/>
                <w:lang w:eastAsia="zh-TW"/>
              </w:rPr>
              <w:t>闭卷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开卷</w:t>
            </w:r>
            <w:r>
              <w:rPr>
                <w:rFonts w:hint="eastAsia" w:ascii="华文仿宋" w:hAnsi="华文仿宋" w:eastAsia="华文仿宋"/>
              </w:rPr>
              <w:t>■</w:t>
            </w:r>
            <w:r>
              <w:rPr>
                <w:rFonts w:hint="eastAsia" w:ascii="华文仿宋" w:hAnsi="华文仿宋" w:eastAsia="华文仿宋"/>
                <w:lang w:eastAsia="zh-TW"/>
              </w:rPr>
              <w:t>全过程考核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论文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口试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面试</w:t>
            </w:r>
            <w:r>
              <w:rPr>
                <w:rFonts w:hint="eastAsia" w:ascii="华文仿宋" w:hAnsi="华文仿宋" w:eastAsia="华文仿宋"/>
              </w:rPr>
              <w:t>□</w:t>
            </w:r>
            <w:r>
              <w:rPr>
                <w:rFonts w:hint="eastAsia" w:ascii="华文仿宋" w:hAnsi="华文仿宋" w:eastAsia="华文仿宋"/>
                <w:lang w:eastAsia="zh-TW"/>
              </w:rPr>
              <w:t>随堂</w:t>
            </w:r>
            <w:r>
              <w:rPr>
                <w:rFonts w:hint="eastAsia" w:ascii="华文仿宋" w:hAnsi="华文仿宋" w:eastAsia="华文仿宋"/>
              </w:rPr>
              <w:t>测验 □</w:t>
            </w:r>
            <w:r>
              <w:rPr>
                <w:rFonts w:hint="eastAsia" w:ascii="华文仿宋" w:hAnsi="华文仿宋" w:eastAsia="华文仿宋"/>
                <w:lang w:eastAsia="zh-TW"/>
              </w:rPr>
              <w:t>机考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大作业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86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课堂</w:t>
            </w:r>
            <w:r>
              <w:rPr>
                <w:rFonts w:ascii="华文仿宋" w:hAnsi="华文仿宋" w:eastAsia="华文仿宋"/>
              </w:rPr>
              <w:t>控制</w:t>
            </w: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次数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5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2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</w:t>
            </w:r>
            <w:r>
              <w:rPr>
                <w:rFonts w:ascii="华文仿宋" w:hAnsi="华文仿宋" w:eastAsia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调研报告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（含</w:t>
            </w:r>
            <w:r>
              <w:rPr>
                <w:rFonts w:ascii="华文仿宋" w:hAnsi="华文仿宋" w:eastAsia="华文仿宋"/>
                <w:szCs w:val="21"/>
              </w:rPr>
              <w:t>小组和个人）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期末</w:t>
            </w:r>
            <w:r>
              <w:rPr>
                <w:rFonts w:ascii="华文仿宋" w:hAnsi="华文仿宋" w:eastAsia="华文仿宋"/>
                <w:szCs w:val="21"/>
              </w:rPr>
              <w:t>考试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期中</w:t>
            </w:r>
            <w:r>
              <w:rPr>
                <w:rFonts w:ascii="华文仿宋" w:hAnsi="华文仿宋" w:eastAsia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其他（请</w:t>
            </w:r>
            <w:r>
              <w:rPr>
                <w:rFonts w:ascii="华文仿宋" w:hAnsi="华文仿宋" w:eastAsia="华文仿宋"/>
                <w:szCs w:val="21"/>
              </w:rPr>
              <w:t>说明</w:t>
            </w:r>
            <w:r>
              <w:rPr>
                <w:rFonts w:hint="eastAsia" w:ascii="华文仿宋" w:hAnsi="华文仿宋" w:eastAsia="华文仿宋"/>
                <w:szCs w:val="21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说明</w:t>
            </w:r>
          </w:p>
        </w:tc>
        <w:tc>
          <w:tcPr>
            <w:tcW w:w="8398" w:type="dxa"/>
            <w:gridSpan w:val="8"/>
            <w:vAlign w:val="top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1.</w:t>
            </w:r>
            <w:r>
              <w:rPr>
                <w:rFonts w:hint="eastAsia" w:ascii="华文琥珀" w:hAnsi="华文仿宋" w:eastAsia="华文琥珀"/>
                <w:sz w:val="24"/>
              </w:rPr>
              <w:t>专业课（含必修和选修）须布置专题小论文或调研报告至少一次，不能为“0”</w:t>
            </w:r>
          </w:p>
          <w:p>
            <w:pPr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2</w:t>
            </w:r>
            <w:r>
              <w:rPr>
                <w:rFonts w:ascii="华文仿宋" w:hAnsi="华文仿宋" w:eastAsia="华文仿宋"/>
              </w:rPr>
              <w:t>.非</w:t>
            </w:r>
            <w:r>
              <w:rPr>
                <w:rFonts w:hint="eastAsia" w:ascii="华文仿宋" w:hAnsi="华文仿宋" w:eastAsia="华文仿宋"/>
              </w:rPr>
              <w:t>课堂</w:t>
            </w:r>
            <w:r>
              <w:rPr>
                <w:rFonts w:ascii="华文仿宋" w:hAnsi="华文仿宋" w:eastAsia="华文仿宋"/>
              </w:rPr>
              <w:t>控制方法则填写“0”</w:t>
            </w:r>
            <w:r>
              <w:rPr>
                <w:rFonts w:hint="eastAsia" w:ascii="华文仿宋" w:hAnsi="华文仿宋" w:eastAsia="华文仿宋"/>
              </w:rPr>
              <w:t>，</w:t>
            </w:r>
            <w:r>
              <w:rPr>
                <w:rFonts w:ascii="华文仿宋" w:hAnsi="华文仿宋" w:eastAsia="华文仿宋"/>
              </w:rPr>
              <w:t>如全过程考核课</w:t>
            </w:r>
            <w:r>
              <w:rPr>
                <w:rFonts w:hint="eastAsia" w:ascii="华文仿宋" w:hAnsi="华文仿宋" w:eastAsia="华文仿宋"/>
              </w:rPr>
              <w:t>程没有期末</w:t>
            </w:r>
            <w:r>
              <w:rPr>
                <w:rFonts w:ascii="华文仿宋" w:hAnsi="华文仿宋" w:eastAsia="华文仿宋"/>
              </w:rPr>
              <w:t>考试，则在次数中填写</w:t>
            </w:r>
            <w:r>
              <w:rPr>
                <w:rFonts w:hint="eastAsia" w:ascii="华文仿宋" w:hAnsi="华文仿宋" w:eastAsia="华文仿宋"/>
              </w:rPr>
              <w:t>“0</w:t>
            </w:r>
            <w:r>
              <w:rPr>
                <w:rFonts w:ascii="华文仿宋" w:hAnsi="华文仿宋" w:eastAsia="华文仿宋"/>
              </w:rPr>
              <w:t>”</w:t>
            </w:r>
          </w:p>
        </w:tc>
      </w:tr>
    </w:tbl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九、成绩评价（Assessment and grading）</w:t>
      </w:r>
    </w:p>
    <w:tbl>
      <w:tblPr>
        <w:tblW w:w="99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成绩评价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  <w:r>
              <w:rPr>
                <w:rFonts w:hint="eastAsia" w:ascii="华文仿宋" w:hAnsi="华文仿宋" w:eastAsia="华文仿宋"/>
              </w:rPr>
              <w:t>Method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  <w:r>
              <w:rPr>
                <w:rFonts w:hint="eastAsia" w:ascii="华文仿宋" w:hAnsi="华文仿宋" w:eastAsia="华文仿宋"/>
              </w:rPr>
              <w:t>Method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  <w:r>
              <w:rPr>
                <w:rFonts w:hint="eastAsia" w:ascii="华文仿宋" w:hAnsi="华文仿宋" w:eastAsia="华文仿宋"/>
              </w:rPr>
              <w:t>Method</w:t>
            </w: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</w:rPr>
              <w:t>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10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10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50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课堂讨论书面报告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（含小组或个人）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课堂讨论口头报告</w:t>
            </w:r>
          </w:p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（含小组或个人）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作  业</w:t>
            </w:r>
          </w:p>
        </w:tc>
        <w:tc>
          <w:tcPr>
            <w:tcW w:w="144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098" w:type="dxa"/>
            <w:vMerge w:val="continue"/>
            <w:vAlign w:val="top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top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说明：学生若有与课程相关的论文发表，教师可视情况给予成绩认定。</w:t>
            </w:r>
          </w:p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</w:p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righ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>
            <w:pPr>
              <w:spacing w:line="280" w:lineRule="exact"/>
              <w:ind w:left="735" w:hanging="735" w:hangingChars="350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备注：若使用其他评量方法，请自行说明。若所列之评量方法未使用，只需于百分比字段中填</w:t>
            </w:r>
            <w:r>
              <w:rPr>
                <w:rFonts w:ascii="华文仿宋" w:hAnsi="华文仿宋" w:eastAsia="华文仿宋"/>
                <w:szCs w:val="21"/>
              </w:rPr>
              <w:t>0</w:t>
            </w:r>
            <w:r>
              <w:rPr>
                <w:rFonts w:hint="eastAsia" w:ascii="华文仿宋" w:hAnsi="华文仿宋" w:eastAsia="华文仿宋"/>
                <w:szCs w:val="21"/>
              </w:rPr>
              <w:t>。各项总合须等于</w:t>
            </w:r>
            <w:r>
              <w:rPr>
                <w:rFonts w:ascii="华文仿宋" w:hAnsi="华文仿宋" w:eastAsia="华文仿宋"/>
                <w:szCs w:val="21"/>
              </w:rPr>
              <w:t>100%</w:t>
            </w:r>
          </w:p>
        </w:tc>
      </w:tr>
    </w:tbl>
    <w:p>
      <w:pPr>
        <w:pStyle w:val="7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</w:p>
    <w:p>
      <w:pPr>
        <w:pStyle w:val="7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十、对最终</w:t>
      </w:r>
      <w:r>
        <w:rPr>
          <w:rFonts w:ascii="华文仿宋" w:hAnsi="华文仿宋" w:eastAsia="华文仿宋"/>
          <w:b/>
          <w:bCs/>
          <w:sz w:val="24"/>
          <w:szCs w:val="24"/>
        </w:rPr>
        <w:t>成绩有不同意见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>时</w:t>
      </w:r>
      <w:r>
        <w:rPr>
          <w:rFonts w:ascii="华文仿宋" w:hAnsi="华文仿宋" w:eastAsia="华文仿宋"/>
          <w:b/>
          <w:bCs/>
          <w:sz w:val="24"/>
          <w:szCs w:val="24"/>
        </w:rPr>
        <w:t>的处理解决方案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>（Grade Dispute Policy）</w:t>
      </w:r>
    </w:p>
    <w:tbl>
      <w:tblPr>
        <w:tblW w:w="10065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0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914" w:hRule="atLeast"/>
        </w:trPr>
        <w:tc>
          <w:tcPr>
            <w:tcW w:w="10065" w:type="dxa"/>
            <w:vAlign w:val="top"/>
          </w:tcPr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考前公示平时成绩，考试结束后对期末成绩有疑义者依据嘉华学院成绩查询程序进行。</w:t>
            </w:r>
          </w:p>
        </w:tc>
      </w:tr>
    </w:tbl>
    <w:p>
      <w:pPr>
        <w:jc w:val="left"/>
        <w:rPr>
          <w:rFonts w:ascii="华文仿宋" w:hAnsi="华文仿宋" w:eastAsia="华文仿宋"/>
          <w:sz w:val="28"/>
          <w:szCs w:val="28"/>
        </w:rPr>
      </w:pPr>
    </w:p>
    <w:sectPr>
      <w:headerReference r:id="rId4" w:type="default"/>
      <w:pgSz w:w="11906" w:h="16838"/>
      <w:pgMar w:top="1440" w:right="1800" w:bottom="1135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Calibri">
    <w:altName w:val="微软雅黑"/>
    <w:panose1 w:val="020F0502020204030204"/>
    <w:charset w:val="00"/>
    <w:family w:val="auto"/>
    <w:pitch w:val="default"/>
    <w:sig w:usb0="E10002FF" w:usb1="4000ACFF" w:usb2="00000009" w:usb3="00000000" w:csb0="0000019F" w:csb1="00000000"/>
  </w:font>
  <w:font w:name="华文仿宋">
    <w:altName w:val="仿宋_GB2312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琥珀">
    <w:altName w:val="宋体"/>
    <w:panose1 w:val="02010800040101010101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396003436">
    <w:nsid w:val="5335526C"/>
    <w:multiLevelType w:val="multilevel"/>
    <w:tmpl w:val="5335526C"/>
    <w:lvl w:ilvl="0" w:tentative="1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960034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99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paragraph" w:styleId="2">
    <w:name w:val="Plain Text"/>
    <w:basedOn w:val="1"/>
    <w:link w:val="12"/>
    <w:uiPriority w:val="0"/>
    <w:rPr>
      <w:rFonts w:ascii="宋体" w:hAnsi="Courier New"/>
      <w:szCs w:val="20"/>
    </w:rPr>
  </w:style>
  <w:style w:type="paragraph" w:styleId="3">
    <w:name w:val="Balloon Text"/>
    <w:basedOn w:val="1"/>
    <w:link w:val="9"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character" w:customStyle="1" w:styleId="8">
    <w:name w:val="f141"/>
    <w:basedOn w:val="6"/>
    <w:uiPriority w:val="0"/>
    <w:rPr>
      <w:sz w:val="22"/>
      <w:szCs w:val="22"/>
    </w:rPr>
  </w:style>
  <w:style w:type="character" w:customStyle="1" w:styleId="9">
    <w:name w:val="批注框文本 Char"/>
    <w:basedOn w:val="6"/>
    <w:link w:val="3"/>
    <w:semiHidden/>
    <w:uiPriority w:val="99"/>
    <w:rPr>
      <w:sz w:val="18"/>
      <w:szCs w:val="18"/>
    </w:rPr>
  </w:style>
  <w:style w:type="character" w:customStyle="1" w:styleId="10">
    <w:name w:val="页眉 Char"/>
    <w:basedOn w:val="6"/>
    <w:link w:val="5"/>
    <w:uiPriority w:val="99"/>
    <w:rPr>
      <w:sz w:val="18"/>
      <w:szCs w:val="18"/>
    </w:rPr>
  </w:style>
  <w:style w:type="character" w:customStyle="1" w:styleId="11">
    <w:name w:val="页脚 Char"/>
    <w:basedOn w:val="6"/>
    <w:link w:val="4"/>
    <w:uiPriority w:val="99"/>
    <w:rPr>
      <w:sz w:val="18"/>
      <w:szCs w:val="18"/>
    </w:rPr>
  </w:style>
  <w:style w:type="character" w:customStyle="1" w:styleId="12">
    <w:name w:val="纯文本 Char"/>
    <w:basedOn w:val="6"/>
    <w:link w:val="2"/>
    <w:uiPriority w:val="0"/>
    <w:rPr>
      <w:rFonts w:ascii="宋体" w:hAnsi="Courier New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Relationship Id="rId7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518</Words>
  <Characters>2958</Characters>
  <Lines>24</Lines>
  <Paragraphs>6</Paragraphs>
  <TotalTime>0</TotalTime>
  <ScaleCrop>false</ScaleCrop>
  <LinksUpToDate>false</LinksUpToDate>
  <CharactersWithSpaces>0</CharactersWithSpaces>
  <Application>WPS Office 个人版_9.1.0.4429_{F1E327BC-269C-435d-A152-05C5408002CA}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2015-03-01T15:54:00Z</dcterms:created>
  <dc:creator>张双喜</dc:creator>
  <cp:lastModifiedBy>Administrator</cp:lastModifiedBy>
  <cp:lastPrinted>2014-11-24T03:06:00Z</cp:lastPrinted>
  <dcterms:modified xsi:type="dcterms:W3CDTF">2015-09-18T03:29:50Z</dcterms:modified>
  <dc:title>《课程名称》课程教学提纲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2052-9.1.0.4429</vt:lpwstr>
  </property>
</Properties>
</file>